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A90A" w14:textId="77777777" w:rsidR="001B505A" w:rsidRPr="004920EC" w:rsidRDefault="001B505A" w:rsidP="001B5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0EC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  <w:r w:rsidRPr="004920EC">
        <w:rPr>
          <w:rFonts w:ascii="Times New Roman" w:hAnsi="Times New Roman" w:cs="Times New Roman"/>
          <w:b/>
          <w:bCs/>
          <w:sz w:val="24"/>
          <w:szCs w:val="24"/>
        </w:rPr>
        <w:br/>
        <w:t>о системе гарантирования вкладов в Республике Узбекистан</w:t>
      </w:r>
    </w:p>
    <w:tbl>
      <w:tblPr>
        <w:tblW w:w="9923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387"/>
      </w:tblGrid>
      <w:tr w:rsidR="001B505A" w:rsidRPr="004920EC" w14:paraId="5137EF06" w14:textId="77777777" w:rsidTr="001B505A">
        <w:trPr>
          <w:tblHeader/>
          <w:tblCellSpacing w:w="15" w:type="dxa"/>
        </w:trPr>
        <w:tc>
          <w:tcPr>
            <w:tcW w:w="522" w:type="dxa"/>
            <w:vAlign w:val="center"/>
            <w:hideMark/>
          </w:tcPr>
          <w:p w14:paraId="0E18C585" w14:textId="77777777" w:rsidR="001B505A" w:rsidRPr="004920EC" w:rsidRDefault="001B505A" w:rsidP="001B50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39" w:type="dxa"/>
            <w:vAlign w:val="center"/>
            <w:hideMark/>
          </w:tcPr>
          <w:p w14:paraId="675E2D78" w14:textId="77777777" w:rsidR="001B505A" w:rsidRPr="004920EC" w:rsidRDefault="001B505A" w:rsidP="001B50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42" w:type="dxa"/>
            <w:vAlign w:val="center"/>
            <w:hideMark/>
          </w:tcPr>
          <w:p w14:paraId="2303509A" w14:textId="77777777" w:rsidR="001B505A" w:rsidRPr="004920EC" w:rsidRDefault="001B505A" w:rsidP="001B50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</w:tr>
      <w:tr w:rsidR="001B505A" w:rsidRPr="004920EC" w14:paraId="5200A31A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9D9932B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39" w:type="dxa"/>
            <w:vAlign w:val="center"/>
            <w:hideMark/>
          </w:tcPr>
          <w:p w14:paraId="5AEFB83A" w14:textId="593B49BE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Вклады, размещённые в _</w:t>
            </w:r>
            <w:r w:rsidR="0024249E"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АКБ </w:t>
            </w:r>
            <w:proofErr w:type="spellStart"/>
            <w:r w:rsidR="0024249E" w:rsidRPr="004920EC">
              <w:rPr>
                <w:rFonts w:ascii="Times New Roman" w:hAnsi="Times New Roman" w:cs="Times New Roman"/>
                <w:sz w:val="24"/>
                <w:szCs w:val="24"/>
              </w:rPr>
              <w:t>Узсаноаткурилишбанк</w:t>
            </w:r>
            <w:proofErr w:type="spellEnd"/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, подлежат гарантированию</w:t>
            </w:r>
          </w:p>
        </w:tc>
        <w:tc>
          <w:tcPr>
            <w:tcW w:w="5342" w:type="dxa"/>
            <w:vAlign w:val="center"/>
            <w:hideMark/>
          </w:tcPr>
          <w:p w14:paraId="397B8095" w14:textId="5288EFFD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Вклады в банке гарантируются Агентством по гарантированию вкладов</w:t>
            </w:r>
            <w:r w:rsidR="0024249E"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505A" w:rsidRPr="004920EC" w14:paraId="12C721AA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D7E0784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39" w:type="dxa"/>
            <w:vAlign w:val="center"/>
            <w:hideMark/>
          </w:tcPr>
          <w:p w14:paraId="66F34272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Правовые основы гарантирования вкладов</w:t>
            </w:r>
          </w:p>
        </w:tc>
        <w:tc>
          <w:tcPr>
            <w:tcW w:w="5342" w:type="dxa"/>
            <w:vAlign w:val="center"/>
            <w:hideMark/>
          </w:tcPr>
          <w:p w14:paraId="1D48F40C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Закон Республики Узбекистан «О защите вкладов в банках»</w:t>
            </w:r>
          </w:p>
        </w:tc>
      </w:tr>
      <w:tr w:rsidR="001B505A" w:rsidRPr="004920EC" w14:paraId="49DB44B5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C633E29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39" w:type="dxa"/>
            <w:vAlign w:val="center"/>
            <w:hideMark/>
          </w:tcPr>
          <w:p w14:paraId="0654AF12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Событие, по которому осуществляется выплата компенсации</w:t>
            </w:r>
          </w:p>
        </w:tc>
        <w:tc>
          <w:tcPr>
            <w:tcW w:w="5342" w:type="dxa"/>
            <w:vAlign w:val="center"/>
            <w:hideMark/>
          </w:tcPr>
          <w:p w14:paraId="79CD08E5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Ликвидация (закрытие) банка</w:t>
            </w:r>
          </w:p>
        </w:tc>
      </w:tr>
      <w:tr w:rsidR="001B505A" w:rsidRPr="004920EC" w14:paraId="67033605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BE7B5FB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39" w:type="dxa"/>
            <w:vAlign w:val="center"/>
            <w:hideMark/>
          </w:tcPr>
          <w:p w14:paraId="033D6369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Виды вкладов, подлежащих гарантированию</w:t>
            </w:r>
          </w:p>
        </w:tc>
        <w:tc>
          <w:tcPr>
            <w:tcW w:w="5342" w:type="dxa"/>
            <w:vAlign w:val="center"/>
            <w:hideMark/>
          </w:tcPr>
          <w:p w14:paraId="651B651F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Вклады до востребования, электронные кошельки, средства на банковских картах, срочные и сберегательные вклады, а также начисленные по ним проценты</w:t>
            </w:r>
          </w:p>
        </w:tc>
      </w:tr>
      <w:tr w:rsidR="001B505A" w:rsidRPr="004920EC" w14:paraId="02AFB9D4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13C53E8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39" w:type="dxa"/>
            <w:vAlign w:val="center"/>
            <w:hideMark/>
          </w:tcPr>
          <w:p w14:paraId="026BA8F4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Размер компенсации</w:t>
            </w:r>
          </w:p>
        </w:tc>
        <w:tc>
          <w:tcPr>
            <w:tcW w:w="5342" w:type="dxa"/>
            <w:vAlign w:val="center"/>
            <w:hideMark/>
          </w:tcPr>
          <w:p w14:paraId="773D388F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ликвидации банка каждому вкладчику выплачивается компенсация с учётом начисленных процентов по вкладу в общей сумме, не превышающей </w:t>
            </w: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200 000 000 сумов</w:t>
            </w:r>
          </w:p>
        </w:tc>
      </w:tr>
      <w:tr w:rsidR="001B505A" w:rsidRPr="004920EC" w14:paraId="1928D3A4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A78A626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39" w:type="dxa"/>
            <w:vAlign w:val="center"/>
            <w:hideMark/>
          </w:tcPr>
          <w:p w14:paraId="718AD91E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Размер компенсации при наличии у вкладчика нескольких вкладов в одном банке</w:t>
            </w:r>
          </w:p>
        </w:tc>
        <w:tc>
          <w:tcPr>
            <w:tcW w:w="5342" w:type="dxa"/>
            <w:vAlign w:val="center"/>
            <w:hideMark/>
          </w:tcPr>
          <w:p w14:paraId="76B85885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 от суммы и валюты вкладов вкладчика, все его вклады (включая начисленные проценты), размещённые в данном банке и его филиалах, суммируются, и общая сумма компенсации не может превышать </w:t>
            </w: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200 000 000 сумов</w:t>
            </w:r>
          </w:p>
        </w:tc>
      </w:tr>
      <w:tr w:rsidR="001B505A" w:rsidRPr="004920EC" w14:paraId="2790537F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E4BEEA7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939" w:type="dxa"/>
            <w:vAlign w:val="center"/>
            <w:hideMark/>
          </w:tcPr>
          <w:p w14:paraId="520F5FB9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Размер компенсации при ликвидации нескольких банков</w:t>
            </w:r>
          </w:p>
        </w:tc>
        <w:tc>
          <w:tcPr>
            <w:tcW w:w="5342" w:type="dxa"/>
            <w:vAlign w:val="center"/>
            <w:hideMark/>
          </w:tcPr>
          <w:p w14:paraId="32D81AFE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Если ликвидировано несколько банков, вкладчик, имеющий вклады в каждом из них, имеет право на получение компенсации по каждому банку отдельно, но не более </w:t>
            </w: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200 000 000 сумов</w:t>
            </w: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банку</w:t>
            </w:r>
          </w:p>
        </w:tc>
      </w:tr>
      <w:tr w:rsidR="001B505A" w:rsidRPr="004920EC" w14:paraId="521E6DF0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6E00514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939" w:type="dxa"/>
            <w:vAlign w:val="center"/>
            <w:hideMark/>
          </w:tcPr>
          <w:p w14:paraId="3B2FB738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Сроки выплаты компенсации</w:t>
            </w:r>
          </w:p>
        </w:tc>
        <w:tc>
          <w:tcPr>
            <w:tcW w:w="5342" w:type="dxa"/>
            <w:vAlign w:val="center"/>
            <w:hideMark/>
          </w:tcPr>
          <w:p w14:paraId="647BD808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рабочих дней</w:t>
            </w: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 с даты принятия решения о ликвидации (закрытии) банка:</w:t>
            </w:r>
          </w:p>
          <w:p w14:paraId="400A57FC" w14:textId="77777777" w:rsidR="00032DE9" w:rsidRPr="004920EC" w:rsidRDefault="00032DE9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января 2026 года</w:t>
            </w: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 — в течение </w:t>
            </w: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рабочих дней</w:t>
            </w: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4A8DA" w14:textId="1009AF80" w:rsidR="00032DE9" w:rsidRPr="004920EC" w:rsidRDefault="00032DE9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января 2027 года</w:t>
            </w: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 xml:space="preserve"> — в течение </w:t>
            </w: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рабочих дней</w:t>
            </w:r>
          </w:p>
        </w:tc>
      </w:tr>
      <w:tr w:rsidR="001B505A" w:rsidRPr="004920EC" w14:paraId="47065F07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759C91E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939" w:type="dxa"/>
            <w:vAlign w:val="center"/>
            <w:hideMark/>
          </w:tcPr>
          <w:p w14:paraId="5A854ED3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Валюта выплаты компенсации</w:t>
            </w:r>
          </w:p>
        </w:tc>
        <w:tc>
          <w:tcPr>
            <w:tcW w:w="5342" w:type="dxa"/>
            <w:vAlign w:val="center"/>
            <w:hideMark/>
          </w:tcPr>
          <w:p w14:paraId="472DE711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По вкладам, размещённым в иностранной валюте, компенсация выплачивается в национальной валюте (сум) по курсу Центрального банка Республики Узбекистан на дату ликвидации (закрытия) банка</w:t>
            </w:r>
          </w:p>
        </w:tc>
      </w:tr>
      <w:tr w:rsidR="001B505A" w:rsidRPr="004920EC" w14:paraId="011260F8" w14:textId="77777777" w:rsidTr="001B505A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A785FF1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39" w:type="dxa"/>
            <w:vAlign w:val="center"/>
            <w:hideMark/>
          </w:tcPr>
          <w:p w14:paraId="57057691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5342" w:type="dxa"/>
            <w:vAlign w:val="center"/>
            <w:hideMark/>
          </w:tcPr>
          <w:p w14:paraId="07A28699" w14:textId="77777777" w:rsidR="001B505A" w:rsidRPr="004920EC" w:rsidRDefault="001B505A" w:rsidP="001B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EC">
              <w:rPr>
                <w:rFonts w:ascii="Times New Roman" w:hAnsi="Times New Roman" w:cs="Times New Roman"/>
                <w:sz w:val="24"/>
                <w:szCs w:val="24"/>
              </w:rPr>
              <w:t>Агентство по гарантированию вкладов: адрес, номера телефонов, адрес электронной почты, веб-сайт</w:t>
            </w:r>
          </w:p>
        </w:tc>
      </w:tr>
    </w:tbl>
    <w:p w14:paraId="391EC537" w14:textId="77777777" w:rsidR="001B505A" w:rsidRPr="004920EC" w:rsidRDefault="001B505A" w:rsidP="001B505A">
      <w:pPr>
        <w:rPr>
          <w:rFonts w:ascii="Times New Roman" w:hAnsi="Times New Roman" w:cs="Times New Roman"/>
          <w:sz w:val="24"/>
          <w:szCs w:val="24"/>
        </w:rPr>
      </w:pPr>
      <w:r w:rsidRPr="004920EC">
        <w:rPr>
          <w:rFonts w:ascii="Times New Roman" w:hAnsi="Times New Roman" w:cs="Times New Roman"/>
          <w:sz w:val="24"/>
          <w:szCs w:val="24"/>
        </w:rPr>
        <w:t>Вкладчик ознакомлен:</w:t>
      </w:r>
      <w:r w:rsidRPr="004920EC">
        <w:rPr>
          <w:rFonts w:ascii="Times New Roman" w:hAnsi="Times New Roman" w:cs="Times New Roman"/>
          <w:sz w:val="24"/>
          <w:szCs w:val="24"/>
        </w:rPr>
        <w:br/>
      </w:r>
      <w:r w:rsidRPr="004920EC">
        <w:rPr>
          <w:rFonts w:ascii="Times New Roman" w:hAnsi="Times New Roman" w:cs="Times New Roman"/>
          <w:b/>
          <w:bCs/>
          <w:sz w:val="24"/>
          <w:szCs w:val="24"/>
        </w:rPr>
        <w:t>Дата и подпись</w:t>
      </w:r>
      <w:r w:rsidRPr="004920EC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6C808E85" w14:textId="77777777" w:rsidR="001B505A" w:rsidRPr="004920EC" w:rsidRDefault="001B505A" w:rsidP="001B505A">
      <w:pPr>
        <w:rPr>
          <w:rFonts w:ascii="Times New Roman" w:hAnsi="Times New Roman" w:cs="Times New Roman"/>
          <w:vanish/>
          <w:sz w:val="24"/>
          <w:szCs w:val="24"/>
        </w:rPr>
      </w:pPr>
      <w:r w:rsidRPr="004920EC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14:paraId="1AE86AD2" w14:textId="77777777" w:rsidR="001B505A" w:rsidRPr="004920EC" w:rsidRDefault="001B505A" w:rsidP="001B505A">
      <w:pPr>
        <w:rPr>
          <w:rFonts w:ascii="Times New Roman" w:hAnsi="Times New Roman" w:cs="Times New Roman"/>
          <w:sz w:val="24"/>
          <w:szCs w:val="24"/>
        </w:rPr>
      </w:pPr>
    </w:p>
    <w:p w14:paraId="6156C058" w14:textId="77777777" w:rsidR="001B505A" w:rsidRPr="004920EC" w:rsidRDefault="001B505A" w:rsidP="001B505A">
      <w:pPr>
        <w:rPr>
          <w:rFonts w:ascii="Times New Roman" w:hAnsi="Times New Roman" w:cs="Times New Roman"/>
          <w:vanish/>
          <w:sz w:val="24"/>
          <w:szCs w:val="24"/>
        </w:rPr>
      </w:pPr>
      <w:r w:rsidRPr="004920EC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14:paraId="46C124F9" w14:textId="77777777" w:rsidR="00FE3AB8" w:rsidRPr="004920EC" w:rsidRDefault="00FE3AB8">
      <w:pPr>
        <w:rPr>
          <w:rFonts w:ascii="Times New Roman" w:hAnsi="Times New Roman" w:cs="Times New Roman"/>
          <w:sz w:val="24"/>
          <w:szCs w:val="24"/>
        </w:rPr>
      </w:pPr>
    </w:p>
    <w:sectPr w:rsidR="00FE3AB8" w:rsidRPr="004920EC" w:rsidSect="004920E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5A"/>
    <w:rsid w:val="00032DE9"/>
    <w:rsid w:val="001B505A"/>
    <w:rsid w:val="001D1116"/>
    <w:rsid w:val="0024249E"/>
    <w:rsid w:val="00254954"/>
    <w:rsid w:val="004920EC"/>
    <w:rsid w:val="00904848"/>
    <w:rsid w:val="00CC7893"/>
    <w:rsid w:val="00FC63BC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D180"/>
  <w15:chartTrackingRefBased/>
  <w15:docId w15:val="{AD4625E7-9D10-48B0-975C-2798E301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0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0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0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0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0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5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Gavxarxon M. Murodova</dc:creator>
  <cp:keywords/>
  <dc:description/>
  <cp:lastModifiedBy>Gavxarxon M. Murodova</cp:lastModifiedBy>
  <cp:revision>5</cp:revision>
  <dcterms:created xsi:type="dcterms:W3CDTF">2025-11-10T07:19:00Z</dcterms:created>
  <dcterms:modified xsi:type="dcterms:W3CDTF">2025-11-24T04:09:00Z</dcterms:modified>
</cp:coreProperties>
</file>